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5.jpeg" ContentType="image/jpeg"/>
  <Override PartName="/word/media/image2.png" ContentType="image/png"/>
  <Override PartName="/word/media/image3.png" ContentType="image/png"/>
  <Override PartName="/word/media/image4.wmf" ContentType="image/x-wmf"/>
  <Override PartName="/word/media/image6.png" ContentType="image/png"/>
  <Override PartName="/word/media/image7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/>
        <w:drawing>
          <wp:inline distT="0" distB="0" distL="0" distR="0">
            <wp:extent cx="6604635" cy="2311400"/>
            <wp:effectExtent l="0" t="0" r="0" b="0"/>
            <wp:docPr id="1" name="Image 2" descr="C:\Users\HUBERT\Desktop\PRODUITS REMARQUABLES\2022\Logos 22\03 - Signature (palmarès + EG) 2022\WEB\signature-email-rectangle-sdbr2021-eg2022-partenaires-1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C:\Users\HUBERT\Desktop\PRODUITS REMARQUABLES\2022\Logos 22\03 - Signature (palmarès + EG) 2022\WEB\signature-email-rectangle-sdbr2021-eg2022-partenaires-1500px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3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mc:AlternateContent>
          <mc:Choice Requires="wpg">
            <w:drawing>
              <wp:anchor behindDoc="0" distT="0" distB="0" distL="0" distR="0" simplePos="0" locked="0" layoutInCell="0" allowOverlap="1" relativeHeight="4" wp14:anchorId="52984663">
                <wp:simplePos x="0" y="0"/>
                <wp:positionH relativeFrom="column">
                  <wp:posOffset>-5715</wp:posOffset>
                </wp:positionH>
                <wp:positionV relativeFrom="paragraph">
                  <wp:posOffset>8837295</wp:posOffset>
                </wp:positionV>
                <wp:extent cx="5758815" cy="440690"/>
                <wp:effectExtent l="0" t="0" r="0" b="0"/>
                <wp:wrapNone/>
                <wp:docPr id="2" name="Groupe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200" cy="439920"/>
                        </a:xfrm>
                      </wpg:grpSpPr>
                      <pic:pic xmlns:pic="http://schemas.openxmlformats.org/drawingml/2006/picture">
                        <pic:nvPicPr>
                          <pic:cNvPr id="0" name="Imag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923640" y="20160"/>
                            <a:ext cx="898560" cy="399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5" descr="C:\Users\HUBERT\Desktop\LOGOS 2018\logo afisb\logo-afisb\web\logo-afisb-1000px.png"/>
                          <pic:cNvPicPr/>
                        </pic:nvPicPr>
                        <pic:blipFill>
                          <a:blip r:embed="rId4"/>
                          <a:srcRect l="0" t="9425" r="0" b="5613"/>
                          <a:stretch/>
                        </pic:blipFill>
                        <pic:spPr>
                          <a:xfrm>
                            <a:off x="0" y="0"/>
                            <a:ext cx="898560" cy="439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14" descr=""/>
                          <pic:cNvPicPr/>
                        </pic:nvPicPr>
                        <pic:blipFill>
                          <a:blip r:embed="rId5"/>
                          <a:srcRect l="0" t="4458" r="3361" b="8538"/>
                          <a:stretch/>
                        </pic:blipFill>
                        <pic:spPr>
                          <a:xfrm>
                            <a:off x="925200" y="47520"/>
                            <a:ext cx="898560" cy="345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16" descr="Résultat de recherche d'images pour &quot;logo uniclima&quot;"/>
                          <pic:cNvPicPr/>
                        </pic:nvPicPr>
                        <pic:blipFill>
                          <a:blip r:embed="rId6"/>
                          <a:srcRect l="12229" t="34369" r="11898" b="35032"/>
                          <a:stretch/>
                        </pic:blipFill>
                        <pic:spPr>
                          <a:xfrm>
                            <a:off x="2806560" y="38880"/>
                            <a:ext cx="1083240" cy="362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6" descr="http://onlylight-event.com/wp-content/uploads/2017/02/GIL-Syndicat-du-Luminaire.png"/>
                          <pic:cNvPicPr/>
                        </pic:nvPicPr>
                        <pic:blipFill>
                          <a:blip r:embed="rId7"/>
                          <a:srcRect l="0" t="0" r="0" b="21951"/>
                          <a:stretch/>
                        </pic:blipFill>
                        <pic:spPr>
                          <a:xfrm>
                            <a:off x="4859640" y="1440"/>
                            <a:ext cx="898560" cy="437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11" descr="Une image contenant clipart&#10;&#10;Description générée automatiquement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871280" y="106560"/>
                            <a:ext cx="899280" cy="226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12" style="position:absolute;margin-left:-0.45pt;margin-top:695.85pt;width:453.4pt;height:34.65pt" coordorigin="-9,13917" coordsize="9068,69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4" stroked="f" style="position:absolute;left:6170;top:13949;width:1414;height:629;mso-wrap-style:none;v-text-anchor:middle" type="shapetype_75">
                  <v:imagedata r:id="rId3" o:detectmouseclick="t"/>
                  <v:stroke color="#3465a4" joinstyle="round" endcap="flat"/>
                  <w10:wrap type="none"/>
                </v:shape>
                <v:shape id="shape_0" ID="Image 5" stroked="f" style="position:absolute;left:-9;top:13917;width:1414;height:692;mso-wrap-style:none;v-text-anchor:middle" type="shapetype_75">
                  <v:imagedata r:id="rId4" o:detectmouseclick="t"/>
                  <v:stroke color="#3465a4" joinstyle="round" endcap="flat"/>
                </v:shape>
                <v:shape id="shape_0" ID="Image 14" stroked="f" style="position:absolute;left:1448;top:13992;width:1414;height:544;mso-wrap-style:none;v-text-anchor:middle" type="shapetype_75">
                  <v:imagedata r:id="rId5" o:detectmouseclick="t"/>
                  <v:stroke color="#3465a4" joinstyle="round" endcap="flat"/>
                </v:shape>
                <v:shape id="shape_0" ID="Image 16" stroked="f" style="position:absolute;left:4411;top:13978;width:1705;height:570;mso-wrap-style:none;v-text-anchor:middle" type="shapetype_75">
                  <v:imagedata r:id="rId6" o:detectmouseclick="t"/>
                  <v:stroke color="#3465a4" joinstyle="round" endcap="flat"/>
                </v:shape>
                <v:shape id="shape_0" ID="Image 6" stroked="f" style="position:absolute;left:7644;top:13919;width:1414;height:687;mso-wrap-style:none;v-text-anchor:middle" type="shapetype_75">
                  <v:imagedata r:id="rId7" o:detectmouseclick="t"/>
                  <v:stroke color="#3465a4" joinstyle="round" endcap="flat"/>
                </v:shape>
                <v:shape id="shape_0" ID="Image 11" stroked="f" style="position:absolute;left:2938;top:14085;width:1415;height:356;mso-wrap-style:none;v-text-anchor:middle" type="shapetype_75">
                  <v:imagedata r:id="rId8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4D588924">
                <wp:simplePos x="0" y="0"/>
                <wp:positionH relativeFrom="margin">
                  <wp:posOffset>89535</wp:posOffset>
                </wp:positionH>
                <wp:positionV relativeFrom="paragraph">
                  <wp:posOffset>20320</wp:posOffset>
                </wp:positionV>
                <wp:extent cx="6291580" cy="1273810"/>
                <wp:effectExtent l="0" t="0" r="0" b="3810"/>
                <wp:wrapNone/>
                <wp:docPr id="3" name="Zon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000" cy="127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entury Gothic" w:hAnsi="Century Gothic" w:eastAsia="Yu Gothic UI Semibold" w:cs="+mn-cs"/>
                                <w:b/>
                                <w:b/>
                                <w:bCs/>
                                <w:color w:val="00B050"/>
                                <w:kern w:val="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="Yu Gothic UI Semibold" w:cs="+mn-cs" w:ascii="Century Gothic" w:hAnsi="Century Gothic"/>
                                <w:b/>
                                <w:bCs/>
                                <w:color w:val="00B050"/>
                                <w:kern w:val="2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  <w:p>
                            <w:pPr>
                              <w:pStyle w:val="Contenudecadre"/>
                              <w:rPr>
                                <w:rFonts w:ascii="Century Gothic" w:hAnsi="Century Gothic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B050"/>
                                <w:sz w:val="40"/>
                                <w:szCs w:val="40"/>
                              </w:rPr>
                              <w:t>Palmarès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50"/>
                                <w:sz w:val="40"/>
                                <w:szCs w:val="40"/>
                              </w:rPr>
                              <w:t xml:space="preserve"> 2022</w:t>
                            </w:r>
                            <w:r>
                              <w:rPr>
                                <w:rFonts w:ascii="Century Gothic" w:hAnsi="Century Gothic"/>
                                <w:color w:val="00B050"/>
                                <w:sz w:val="40"/>
                                <w:szCs w:val="40"/>
                              </w:rPr>
                              <w:t xml:space="preserve"> des salles de bains remarquables</w:t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rPr>
                                <w:rFonts w:ascii="Century Gothic" w:hAnsi="Century Gothic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3" fillcolor="white" stroked="f" style="position:absolute;margin-left:7.05pt;margin-top:1.6pt;width:495.3pt;height:100.2pt;mso-wrap-style:square;v-text-anchor:top;mso-position-horizontal-relative:margin" wp14:anchorId="4D588924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Contenudecadre"/>
                        <w:rPr>
                          <w:rFonts w:ascii="Century Gothic" w:hAnsi="Century Gothic" w:eastAsia="Yu Gothic UI Semibold" w:cs="+mn-cs"/>
                          <w:b/>
                          <w:b/>
                          <w:bCs/>
                          <w:color w:val="00B050"/>
                          <w:kern w:val="2"/>
                          <w:sz w:val="72"/>
                          <w:szCs w:val="72"/>
                        </w:rPr>
                      </w:pPr>
                      <w:r>
                        <w:rPr>
                          <w:rFonts w:eastAsia="Yu Gothic UI Semibold" w:cs="+mn-cs" w:ascii="Century Gothic" w:hAnsi="Century Gothic"/>
                          <w:b/>
                          <w:bCs/>
                          <w:color w:val="00B050"/>
                          <w:kern w:val="2"/>
                          <w:sz w:val="72"/>
                          <w:szCs w:val="72"/>
                        </w:rPr>
                        <w:t>DOSSIER DE CANDIDATURE</w:t>
                      </w:r>
                    </w:p>
                    <w:p>
                      <w:pPr>
                        <w:pStyle w:val="Contenudecadre"/>
                        <w:rPr>
                          <w:rFonts w:ascii="Century Gothic" w:hAnsi="Century Gothic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00B050"/>
                          <w:sz w:val="40"/>
                          <w:szCs w:val="40"/>
                        </w:rPr>
                        <w:t>Palmarès</w:t>
                      </w:r>
                      <w:r>
                        <w:rPr>
                          <w:rFonts w:ascii="Century Gothic" w:hAnsi="Century Gothic"/>
                          <w:b/>
                          <w:color w:val="00B050"/>
                          <w:sz w:val="40"/>
                          <w:szCs w:val="40"/>
                        </w:rPr>
                        <w:t xml:space="preserve"> 2022</w:t>
                      </w:r>
                      <w:r>
                        <w:rPr>
                          <w:rFonts w:ascii="Century Gothic" w:hAnsi="Century Gothic"/>
                          <w:color w:val="00B050"/>
                          <w:sz w:val="40"/>
                          <w:szCs w:val="40"/>
                        </w:rPr>
                        <w:t xml:space="preserve"> des salles de bains remarquables</w:t>
                      </w:r>
                    </w:p>
                    <w:p>
                      <w:pPr>
                        <w:pStyle w:val="Contenudecadre"/>
                        <w:spacing w:before="0" w:after="160"/>
                        <w:rPr>
                          <w:rFonts w:ascii="Century Gothic" w:hAnsi="Century Gothic"/>
                          <w:color w:val="00B050"/>
                          <w:sz w:val="40"/>
                          <w:szCs w:val="4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center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Qu’est-ce que le palmarès des salles de bains remarquables ?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Palmarès des États Généraux de la Salle de Bains 2022 a pour objectif de promouvoir et récompenser les produits remarquables des fabricants de la salle de bains.</w:t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Un produit remarquable est un produit qui offre à ses utilisateurs une expérience unique ou différenciante. Il répond aux besoins et aux attentes des utilisateurs, identifiés dans </w:t>
      </w:r>
      <w:r>
        <w:rPr>
          <w:rFonts w:ascii="Century Gothic" w:hAnsi="Century Gothic"/>
          <w:b/>
          <w:bCs/>
        </w:rPr>
        <w:t>six</w:t>
      </w:r>
      <w:r>
        <w:rPr>
          <w:rFonts w:ascii="Century Gothic" w:hAnsi="Century Gothic"/>
          <w:b/>
          <w:bCs/>
        </w:rPr>
        <w:t xml:space="preserve"> thématiques. Un produit remarquable doit présenter un caractère singulier, innovant, pertinent et fonctionnel. Il existe des produits remarquables à tous les niveaux de gamme et de services proposés. Le produit remarquable doit déjà être mis à disposition sur le marché ou en cours de mise à disposition.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candidats </w:t>
      </w:r>
      <w:r>
        <w:rPr>
          <w:rFonts w:ascii="Century Gothic" w:hAnsi="Century Gothic"/>
          <w:b/>
          <w:bCs/>
        </w:rPr>
        <w:t>sont membres d’une des 6 associations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  <w:bCs/>
        </w:rPr>
        <w:t>ou syndicats</w:t>
      </w:r>
      <w:r>
        <w:rPr>
          <w:rFonts w:ascii="Century Gothic" w:hAnsi="Century Gothic"/>
        </w:rPr>
        <w:t xml:space="preserve"> de fabricants, organisateur et partenaires du Palmarès des États Généraux de la Salle de Bains 202</w:t>
      </w:r>
      <w:r>
        <w:rPr>
          <w:rFonts w:ascii="Century Gothic" w:hAnsi="Century Gothic"/>
        </w:rPr>
        <w:t>2</w:t>
      </w:r>
      <w:r>
        <w:rPr>
          <w:rFonts w:ascii="Century Gothic" w:hAnsi="Century Gothic"/>
        </w:rPr>
        <w:t> : l’</w:t>
      </w:r>
      <w:hyperlink r:id="rId9">
        <w:r>
          <w:rPr>
            <w:rStyle w:val="LienInternet"/>
            <w:rFonts w:ascii="Century Gothic" w:hAnsi="Century Gothic"/>
          </w:rPr>
          <w:t>AFISB</w:t>
        </w:r>
      </w:hyperlink>
      <w:r>
        <w:rPr>
          <w:rFonts w:ascii="Century Gothic" w:hAnsi="Century Gothic"/>
        </w:rPr>
        <w:t xml:space="preserve"> (Association Française des Industries de la Salle de Bains) l’organisateur, et les partenaires suivants : l’</w:t>
      </w:r>
      <w:hyperlink r:id="rId10">
        <w:r>
          <w:rPr>
            <w:rStyle w:val="LienInternet"/>
            <w:rFonts w:ascii="Century Gothic" w:hAnsi="Century Gothic"/>
          </w:rPr>
          <w:t>Ameublement Français</w:t>
        </w:r>
      </w:hyperlink>
      <w:r>
        <w:rPr>
          <w:rFonts w:ascii="Century Gothic" w:hAnsi="Century Gothic"/>
        </w:rPr>
        <w:t xml:space="preserve"> (Union Nationale des Industries de l’Ameublement Français), </w:t>
      </w:r>
      <w:hyperlink r:id="rId11">
        <w:r>
          <w:rPr>
            <w:rStyle w:val="LienInternet"/>
            <w:rFonts w:ascii="Century Gothic" w:hAnsi="Century Gothic"/>
          </w:rPr>
          <w:t>EVOLIS</w:t>
        </w:r>
      </w:hyperlink>
      <w:r>
        <w:rPr>
          <w:rStyle w:val="LienInternet"/>
          <w:rFonts w:ascii="Century Gothic" w:hAnsi="Century Gothic"/>
          <w:u w:val="none"/>
        </w:rPr>
        <w:t xml:space="preserve"> </w:t>
      </w:r>
      <w:r>
        <w:rPr>
          <w:rStyle w:val="LienInternet"/>
          <w:rFonts w:ascii="Century Gothic" w:hAnsi="Century Gothic"/>
          <w:color w:val="auto"/>
          <w:u w:val="none"/>
        </w:rPr>
        <w:t>(</w:t>
      </w:r>
      <w:r>
        <w:rPr>
          <w:rFonts w:ascii="Century Gothic" w:hAnsi="Century Gothic"/>
          <w:sz w:val="24"/>
          <w:szCs w:val="24"/>
        </w:rPr>
        <w:t>organisation professionnelle des biens d’équipement…,</w:t>
      </w:r>
      <w:r>
        <w:rPr>
          <w:rFonts w:ascii="Century Gothic" w:hAnsi="Century Gothic"/>
        </w:rPr>
        <w:t xml:space="preserve"> </w:t>
      </w:r>
      <w:hyperlink r:id="rId12">
        <w:r>
          <w:rPr>
            <w:rStyle w:val="LienInternet"/>
            <w:rFonts w:ascii="Century Gothic" w:hAnsi="Century Gothic"/>
          </w:rPr>
          <w:t>UNICLIMA</w:t>
        </w:r>
      </w:hyperlink>
      <w:r>
        <w:rPr>
          <w:rFonts w:ascii="Century Gothic" w:hAnsi="Century Gothic"/>
        </w:rPr>
        <w:t xml:space="preserve"> (Syndicat des industries thermiques, aérauliques et frigorifiques), le </w:t>
      </w:r>
      <w:hyperlink r:id="rId13">
        <w:r>
          <w:rPr>
            <w:rStyle w:val="LienInternet"/>
            <w:rFonts w:ascii="Century Gothic" w:hAnsi="Century Gothic"/>
          </w:rPr>
          <w:t>Gifam</w:t>
        </w:r>
      </w:hyperlink>
      <w:r>
        <w:rPr>
          <w:rFonts w:ascii="Century Gothic" w:hAnsi="Century Gothic"/>
        </w:rPr>
        <w:t xml:space="preserve"> (Groupement des marques d’appareils pour la maison) et le </w:t>
      </w:r>
      <w:hyperlink r:id="rId14">
        <w:r>
          <w:rPr>
            <w:rStyle w:val="LienInternet"/>
            <w:rFonts w:ascii="Century Gothic" w:hAnsi="Century Gothic"/>
          </w:rPr>
          <w:t>GIL</w:t>
        </w:r>
      </w:hyperlink>
      <w:r>
        <w:rPr>
          <w:rFonts w:ascii="Century Gothic" w:hAnsi="Century Gothic"/>
        </w:rPr>
        <w:t xml:space="preserve"> (Syndicat du luminaire).</w:t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Quand participer ?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Après réception du dossier, vous avez jusqu’au le </w:t>
      </w:r>
      <w:r>
        <w:rPr>
          <w:rFonts w:ascii="Century Gothic" w:hAnsi="Century Gothic"/>
          <w:b/>
          <w:bCs/>
          <w:highlight w:val="yellow"/>
        </w:rPr>
        <w:t>4 mars 2022 minuit</w:t>
      </w: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 xml:space="preserve">pour déposer votre candidature au palmarès 2021, à l’adresse suivante </w:t>
      </w:r>
    </w:p>
    <w:p>
      <w:pPr>
        <w:pStyle w:val="Normal"/>
        <w:jc w:val="both"/>
        <w:rPr>
          <w:rFonts w:ascii="Century Gothic" w:hAnsi="Century Gothic"/>
        </w:rPr>
      </w:pPr>
      <w:hyperlink r:id="rId15">
        <w:r>
          <w:rPr>
            <w:rStyle w:val="LienInternet"/>
            <w:rFonts w:ascii="Century Gothic" w:hAnsi="Century Gothic"/>
          </w:rPr>
          <w:t>produits.remarquables@salledebains.fr</w:t>
        </w:r>
      </w:hyperlink>
      <w:r>
        <w:rPr>
          <w:rFonts w:ascii="Century Gothic" w:hAnsi="Century Gothic"/>
        </w:rPr>
        <w:t xml:space="preserve"> </w:t>
      </w:r>
      <w:bookmarkStart w:id="0" w:name="_GoBack"/>
      <w:bookmarkEnd w:id="0"/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Un Jury indépendant délibèrera le 31 mars 2022.</w:t>
      </w:r>
    </w:p>
    <w:p>
      <w:pPr>
        <w:pStyle w:val="Normal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 xml:space="preserve">La remise des trophées OR, ARGENT et BRONZE désignées par le jury parmi les produits lauréats de chaque famille se tiendra </w:t>
      </w:r>
      <w:r>
        <w:rPr>
          <w:rFonts w:ascii="Century Gothic" w:hAnsi="Century Gothic"/>
          <w:b/>
          <w:highlight w:val="yellow"/>
        </w:rPr>
        <w:t>début</w:t>
      </w:r>
      <w:r>
        <w:rPr>
          <w:rFonts w:ascii="Century Gothic" w:hAnsi="Century Gothic"/>
          <w:b/>
          <w:bCs/>
          <w:highlight w:val="yellow"/>
        </w:rPr>
        <w:t xml:space="preserve"> mai 2022</w:t>
      </w:r>
      <w:r>
        <w:rPr>
          <w:rFonts w:ascii="Century Gothic" w:hAnsi="Century Gothic"/>
        </w:rPr>
        <w:t xml:space="preserve"> lors des </w:t>
      </w:r>
      <w:r>
        <w:rPr>
          <w:rFonts w:ascii="Century Gothic" w:hAnsi="Century Gothic"/>
          <w:b/>
          <w:bCs/>
        </w:rPr>
        <w:t xml:space="preserve">États Généraux de la salle de bains. </w:t>
      </w:r>
      <w:r>
        <w:rPr>
          <w:rFonts w:ascii="Century Gothic" w:hAnsi="Century Gothic"/>
          <w:bCs/>
        </w:rPr>
        <w:t xml:space="preserve">La date et le lieu de remise des prix pourront être modifiés en fonction  des contraintes qui peuvent s’imposer à tout évènement. </w:t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Comment déposer sa candidature ?</w:t>
      </w:r>
    </w:p>
    <w:p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Vous devez décrire les caractéristiques de vos produits et les avantages utilisateurs et/ou installateurs en remplissant le tableau joint à ce document.</w:t>
      </w:r>
    </w:p>
    <w:p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Votre dossier de candidature peut comporter </w:t>
      </w:r>
      <w:r>
        <w:rPr>
          <w:rFonts w:ascii="Century Gothic" w:hAnsi="Century Gothic"/>
          <w:b/>
          <w:bCs/>
        </w:rPr>
        <w:t>jusqu’à 2 produits par marque commerciale</w:t>
      </w:r>
      <w:r>
        <w:rPr>
          <w:rFonts w:ascii="Century Gothic" w:hAnsi="Century Gothic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b/>
          <w:b/>
          <w:u w:val="single"/>
        </w:rPr>
      </w:pPr>
      <w:r>
        <w:rPr>
          <w:rFonts w:ascii="Century Gothic" w:hAnsi="Century Gothic"/>
        </w:rPr>
        <w:t xml:space="preserve">Joindre 2/3 photos par produit (300 DPI) au format JPEG, PSD ou EPS </w:t>
      </w:r>
      <w:r>
        <w:rPr>
          <w:rFonts w:ascii="Century Gothic" w:hAnsi="Century Gothic"/>
          <w:b/>
        </w:rPr>
        <w:t xml:space="preserve">et  plus en cas de gamme complète. </w:t>
      </w:r>
      <w:r>
        <w:rPr>
          <w:rFonts w:ascii="Century Gothic" w:hAnsi="Century Gothic"/>
          <w:u w:val="single"/>
        </w:rPr>
        <w:t>À noter :</w:t>
      </w:r>
      <w:r>
        <w:rPr>
          <w:rFonts w:ascii="Century Gothic" w:hAnsi="Century Gothic"/>
        </w:rPr>
        <w:t xml:space="preserve"> ces visuels sont exploitables en </w:t>
      </w:r>
      <w:r>
        <w:rPr>
          <w:rFonts w:ascii="Century Gothic" w:hAnsi="Century Gothic"/>
          <w:u w:val="single"/>
        </w:rPr>
        <w:t>presse</w:t>
      </w:r>
      <w:r>
        <w:rPr>
          <w:rFonts w:ascii="Century Gothic" w:hAnsi="Century Gothic"/>
          <w:b/>
          <w:u w:val="single"/>
        </w:rPr>
        <w:t>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Combien ça coûte ?</w:t>
      </w:r>
    </w:p>
    <w:p>
      <w:pPr>
        <w:sectPr>
          <w:type w:val="nextPage"/>
          <w:pgSz w:w="11906" w:h="16838"/>
          <w:pgMar w:left="1080" w:right="108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Century Gothic" w:hAnsi="Century Gothic"/>
          <w:b/>
          <w:b/>
          <w:color w:val="00B050"/>
        </w:rPr>
      </w:pPr>
      <w:r>
        <w:rPr>
          <w:rFonts w:ascii="Century Gothic" w:hAnsi="Century Gothic"/>
          <w:b/>
          <w:color w:val="00B050"/>
        </w:rPr>
        <w:t>Participation gratuite… et fortement recommandée !</w:t>
      </w:r>
    </w:p>
    <w:tbl>
      <w:tblPr>
        <w:tblpPr w:bottomFromText="0" w:horzAnchor="margin" w:leftFromText="141" w:rightFromText="141" w:tblpX="-709" w:tblpY="284" w:topFromText="0" w:vertAnchor="text"/>
        <w:tblW w:w="15237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VBand="1" w:noHBand="0" w:lastColumn="0" w:firstColumn="1" w:lastRow="0" w:firstRow="1"/>
      </w:tblPr>
      <w:tblGrid>
        <w:gridCol w:w="991"/>
        <w:gridCol w:w="497"/>
        <w:gridCol w:w="992"/>
        <w:gridCol w:w="992"/>
        <w:gridCol w:w="850"/>
        <w:gridCol w:w="850"/>
        <w:gridCol w:w="852"/>
        <w:gridCol w:w="849"/>
        <w:gridCol w:w="993"/>
        <w:gridCol w:w="992"/>
        <w:gridCol w:w="1134"/>
        <w:gridCol w:w="1135"/>
        <w:gridCol w:w="992"/>
        <w:gridCol w:w="992"/>
        <w:gridCol w:w="1134"/>
        <w:gridCol w:w="992"/>
      </w:tblGrid>
      <w:tr>
        <w:trPr>
          <w:trHeight w:val="750" w:hRule="atLeast"/>
        </w:trPr>
        <w:tc>
          <w:tcPr>
            <w:tcW w:w="991" w:type="dxa"/>
            <w:tcBorders/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color w:val="00B050"/>
                <w:sz w:val="48"/>
                <w:szCs w:val="48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00B050"/>
                <w:sz w:val="48"/>
                <w:szCs w:val="48"/>
                <w:lang w:eastAsia="fr-FR"/>
              </w:rPr>
            </w:r>
          </w:p>
        </w:tc>
        <w:tc>
          <w:tcPr>
            <w:tcW w:w="14246" w:type="dxa"/>
            <w:gridSpan w:val="15"/>
            <w:tcBorders/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color w:val="FFFFFF" w:themeColor="background1"/>
                <w:sz w:val="48"/>
                <w:szCs w:val="48"/>
                <w:lang w:eastAsia="fr-FR"/>
              </w:rPr>
            </w:pPr>
            <w:bookmarkStart w:id="1" w:name="RANGE!A1%3AG15"/>
            <w:r>
              <w:rPr>
                <w:rFonts w:eastAsia="Times New Roman" w:cs="Times New Roman" w:ascii="Century Gothic" w:hAnsi="Century Gothic"/>
                <w:color w:val="FFFFFF" w:themeColor="background1"/>
                <w:sz w:val="48"/>
                <w:szCs w:val="48"/>
                <w:lang w:eastAsia="fr-FR"/>
              </w:rPr>
              <w:t>Palmarès 2022 des salles de bains remarquables</w:t>
            </w:r>
            <w:bookmarkEnd w:id="1"/>
          </w:p>
        </w:tc>
      </w:tr>
      <w:tr>
        <w:trPr>
          <w:trHeight w:val="804" w:hRule="atLeast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595959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lang w:eastAsia="fr-FR"/>
              </w:rPr>
              <w:t>Marque candidate 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b/>
                <w:color w:val="595959"/>
                <w:sz w:val="16"/>
                <w:szCs w:val="16"/>
                <w:lang w:eastAsia="fr-FR"/>
              </w:rPr>
            </w:r>
          </w:p>
        </w:tc>
        <w:tc>
          <w:tcPr>
            <w:tcW w:w="12757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b/>
                <w:color w:val="595959"/>
                <w:sz w:val="16"/>
                <w:szCs w:val="16"/>
                <w:lang w:eastAsia="fr-FR"/>
              </w:rPr>
            </w:r>
          </w:p>
        </w:tc>
      </w:tr>
      <w:tr>
        <w:trPr>
          <w:trHeight w:val="804" w:hRule="atLeast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lang w:eastAsia="fr-FR"/>
              </w:rPr>
              <w:t>Nom des produits candidats 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lang w:eastAsia="fr-FR"/>
              </w:rPr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b/>
                <w:color w:val="595959"/>
                <w:sz w:val="16"/>
                <w:szCs w:val="16"/>
                <w:lang w:eastAsia="fr-FR"/>
              </w:rPr>
            </w:r>
          </w:p>
        </w:tc>
        <w:tc>
          <w:tcPr>
            <w:tcW w:w="12757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b/>
                <w:color w:val="595959"/>
                <w:sz w:val="16"/>
                <w:szCs w:val="16"/>
                <w:lang w:eastAsia="fr-FR"/>
              </w:rPr>
            </w:r>
          </w:p>
        </w:tc>
      </w:tr>
      <w:tr>
        <w:trPr>
          <w:trHeight w:val="804" w:hRule="atLeast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lang w:eastAsia="fr-FR"/>
              </w:rPr>
              <w:t>Référent du dossier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lang w:eastAsia="fr-FR"/>
              </w:rPr>
              <w:t>(nom et adresse mail) :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sz w:val="24"/>
                <w:szCs w:val="24"/>
                <w:lang w:eastAsia="fr-FR"/>
              </w:rPr>
            </w:r>
          </w:p>
        </w:tc>
        <w:tc>
          <w:tcPr>
            <w:tcW w:w="12757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sz w:val="24"/>
                <w:szCs w:val="24"/>
                <w:lang w:eastAsia="fr-FR"/>
              </w:rPr>
            </w:r>
          </w:p>
        </w:tc>
      </w:tr>
      <w:tr>
        <w:trPr>
          <w:trHeight w:val="804" w:hRule="atLeast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b/>
                <w:b/>
                <w:bCs/>
                <w:color w:val="595959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595959"/>
                <w:sz w:val="24"/>
                <w:szCs w:val="24"/>
                <w:lang w:eastAsia="fr-FR"/>
              </w:rPr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4397BB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4397BB"/>
                <w:sz w:val="24"/>
                <w:szCs w:val="24"/>
                <w:lang w:eastAsia="fr-FR"/>
              </w:rPr>
            </w:r>
          </w:p>
        </w:tc>
        <w:tc>
          <w:tcPr>
            <w:tcW w:w="12757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FF0000"/>
                <w:sz w:val="24"/>
                <w:szCs w:val="24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FF0000"/>
                <w:sz w:val="36"/>
                <w:szCs w:val="3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36"/>
                <w:szCs w:val="36"/>
                <w:lang w:eastAsia="fr-FR"/>
              </w:rPr>
              <w:t>12 Familles de produits</w:t>
            </w:r>
          </w:p>
        </w:tc>
      </w:tr>
      <w:tr>
        <w:trPr>
          <w:trHeight w:val="87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24"/>
                <w:szCs w:val="24"/>
                <w:lang w:eastAsia="fr-FR"/>
              </w:rPr>
              <w:t>Thèmes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Meuble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fonctionnel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Meuble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Design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Lavabo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WC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Bain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Douche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Robinets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 xml:space="preserve">Radiateur </w:t>
              <w:br/>
            </w: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Design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Radiateur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Fonctionnel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Composant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Luminaire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Applique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intégré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Appareil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  <w:t>ECS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color w:val="00B050"/>
                <w:sz w:val="16"/>
                <w:szCs w:val="16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Collectivité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Gamme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  <w:t>Complète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color w:val="00B05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color w:val="00B050"/>
                <w:sz w:val="16"/>
                <w:szCs w:val="16"/>
                <w:lang w:eastAsia="fr-FR"/>
              </w:rPr>
            </w:r>
          </w:p>
        </w:tc>
      </w:tr>
      <w:tr>
        <w:trPr>
          <w:trHeight w:val="28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Économie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recyclabilité, réparabilité…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bCs/>
                <w:i/>
                <w:i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8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Accessibilité optimisée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9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8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Gain de place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i/>
                <w:i/>
                <w:iCs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i/>
                <w:iCs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8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Confort/Bien être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i/>
                <w:i/>
                <w:iCs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i/>
                <w:iCs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b/>
                <w:b/>
                <w:bCs/>
                <w:i/>
                <w:i/>
                <w:i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87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Sur mesure/ Recoupable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i/>
                <w:i/>
                <w:iCs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i/>
                <w:iCs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bCs/>
                <w:i/>
                <w:i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Cs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Times New Roman" w:cs="Times New Roman"/>
                <w:b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b/>
                <w:bCs/>
                <w:sz w:val="16"/>
                <w:szCs w:val="16"/>
                <w:lang w:eastAsia="fr-FR"/>
              </w:rPr>
              <w:t>Design/Finitions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  <w:tr>
        <w:trPr>
          <w:trHeight w:val="215" w:hRule="atLeast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firstLine="160"/>
              <w:jc w:val="right"/>
              <w:rPr>
                <w:rFonts w:ascii="Century Gothic" w:hAnsi="Century Gothic" w:eastAsia="Times New Roman" w:cs="Times New Roman"/>
                <w:i/>
                <w:i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i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entury Gothic" w:hAnsi="Century Gothic" w:eastAsia="Times New Roman" w:cs="Times New Roman"/>
                <w:color w:val="595959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 w:ascii="Century Gothic" w:hAnsi="Century Gothic"/>
                <w:color w:val="595959"/>
                <w:sz w:val="20"/>
                <w:szCs w:val="20"/>
                <w:lang w:eastAsia="fr-FR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18" w:right="1418" w:header="0" w:top="567" w:footer="0" w:bottom="141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both"/>
        <w:rPr>
          <w:rFonts w:ascii="Century Gothic" w:hAnsi="Century Gothic"/>
          <w:color w:val="4397BB"/>
          <w:sz w:val="24"/>
          <w:szCs w:val="24"/>
        </w:rPr>
      </w:pPr>
      <w:r>
        <w:rPr>
          <w:rFonts w:ascii="Century Gothic" w:hAnsi="Century Gothic"/>
          <w:color w:val="4397BB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Description produit et argumentaire</w:t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Produit 1</w:t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Nom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Famille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Thème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Marque commerciale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Design Interne / Externe (Nom du designer)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Caractéristiques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Avantages utilisateurs et/ou installateurs :</w:t>
      </w:r>
      <w:r>
        <w:br w:type="page"/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Description produit et argumentaire</w:t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Produit 2</w:t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B050"/>
          <w:sz w:val="24"/>
          <w:szCs w:val="24"/>
        </w:rPr>
      </w:pPr>
      <w:r>
        <w:rPr>
          <w:rFonts w:ascii="Century Gothic" w:hAnsi="Century Gothic"/>
          <w:b/>
          <w:bCs/>
          <w:color w:val="00B050"/>
          <w:sz w:val="24"/>
          <w:szCs w:val="24"/>
        </w:rPr>
        <w:t>Nom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 xml:space="preserve">Famille : 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Thème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Marque commerciale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Design Interne / Externe (Nom du designer)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  <w:t>Caractéristiques :</w:t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color w:val="00B050"/>
          <w:sz w:val="24"/>
          <w:szCs w:val="24"/>
        </w:rPr>
      </w:pPr>
      <w:r>
        <w:rPr>
          <w:rFonts w:ascii="Century Gothic" w:hAnsi="Century Gothic"/>
          <w:color w:val="00B050"/>
          <w:sz w:val="24"/>
          <w:szCs w:val="24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Avantages utilisateurs et/ou installateurs :</w:t>
      </w:r>
    </w:p>
    <w:p>
      <w:pPr>
        <w:pStyle w:val="Normal"/>
        <w:spacing w:before="0" w:after="160"/>
        <w:jc w:val="both"/>
        <w:rPr>
          <w:rFonts w:ascii="Century Gothic" w:hAnsi="Century Gothic"/>
          <w:color w:val="00B050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Geneva">
    <w:charset w:val="01"/>
    <w:family w:val="swiss"/>
    <w:pitch w:val="default"/>
  </w:font>
  <w:font w:name="Century Gothic">
    <w:charset w:val="01"/>
    <w:family w:val="swiss"/>
    <w:pitch w:val="default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951349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951349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d59e9"/>
    <w:rPr>
      <w:rFonts w:ascii="Tahoma" w:hAnsi="Tahoma" w:cs="Tahoma"/>
      <w:sz w:val="16"/>
      <w:szCs w:val="16"/>
    </w:rPr>
  </w:style>
  <w:style w:type="character" w:styleId="LienInternetvisit">
    <w:name w:val="Lien Internet visité"/>
    <w:basedOn w:val="DefaultParagraphFont"/>
    <w:uiPriority w:val="99"/>
    <w:semiHidden/>
    <w:unhideWhenUsed/>
    <w:rsid w:val="006c4cd1"/>
    <w:rPr>
      <w:color w:val="954F72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4cd1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Geneva" w:hAnsi="Geneva" w:eastAsia="PingFang SC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ascii="Geneva" w:hAnsi="Geneva"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Geneva" w:hAnsi="Genev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Geneva" w:hAnsi="Geneva" w:cs="Lucida Sans"/>
    </w:rPr>
  </w:style>
  <w:style w:type="paragraph" w:styleId="ListParagraph">
    <w:name w:val="List Paragraph"/>
    <w:basedOn w:val="Normal"/>
    <w:uiPriority w:val="34"/>
    <w:qFormat/>
    <w:rsid w:val="00be093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d59e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wmf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hyperlink" Target="https://www.salledebains.fr/" TargetMode="External"/><Relationship Id="rId10" Type="http://schemas.openxmlformats.org/officeDocument/2006/relationships/hyperlink" Target="https://www.ameublement.com/" TargetMode="External"/><Relationship Id="rId11" Type="http://schemas.openxmlformats.org/officeDocument/2006/relationships/hyperlink" Target="https://www.evolis.org/" TargetMode="External"/><Relationship Id="rId12" Type="http://schemas.openxmlformats.org/officeDocument/2006/relationships/hyperlink" Target="https://www.uniclima.fr/" TargetMode="External"/><Relationship Id="rId13" Type="http://schemas.openxmlformats.org/officeDocument/2006/relationships/hyperlink" Target="https://www.gifam.fr/" TargetMode="External"/><Relationship Id="rId14" Type="http://schemas.openxmlformats.org/officeDocument/2006/relationships/hyperlink" Target="https://www.luminaire.org/" TargetMode="External"/><Relationship Id="rId15" Type="http://schemas.openxmlformats.org/officeDocument/2006/relationships/hyperlink" Target="mailto:produits.remarquables@salledebains.fr" TargetMode="Externa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293990-5572-442C-90C0-E9D369D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LibreOffice/7.0.5.2$MacOSX_X86_64 LibreOffice_project/64390860c6cd0aca4beafafcfd84613dd9dfb63a</Application>
  <AppVersion>15.0000</AppVersion>
  <Pages>5</Pages>
  <Words>503</Words>
  <Characters>2877</Characters>
  <CharactersWithSpaces>3309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2022-01-24T10:30:00Z</dcterms:created>
  <dc:creator>Emilie PIERRE-JEAN</dc:creator>
  <dc:description/>
  <dc:language>fr-FR</dc:language>
  <cp:lastModifiedBy/>
  <cp:lastPrinted>2020-01-17T16:02:00Z</cp:lastPrinted>
  <dcterms:modified xsi:type="dcterms:W3CDTF">2022-01-31T19:51:03Z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